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D0C" w:rsidRDefault="009220EE">
      <w:pPr>
        <w:pStyle w:val="BodyA"/>
        <w:jc w:val="center"/>
        <w:rPr>
          <w:rStyle w:val="NoneA"/>
          <w:b/>
          <w:bCs/>
          <w:sz w:val="28"/>
          <w:szCs w:val="28"/>
        </w:rPr>
      </w:pPr>
      <w:bookmarkStart w:id="0" w:name="_GoBack"/>
      <w:bookmarkEnd w:id="0"/>
      <w:r>
        <w:rPr>
          <w:rStyle w:val="NoneA"/>
          <w:b/>
          <w:bCs/>
          <w:sz w:val="28"/>
          <w:szCs w:val="28"/>
        </w:rPr>
        <w:t>Health, Safety and Environment</w:t>
      </w:r>
    </w:p>
    <w:p w:rsidR="00006D0C" w:rsidRDefault="00006D0C">
      <w:pPr>
        <w:pStyle w:val="BodyA"/>
        <w:jc w:val="center"/>
        <w:rPr>
          <w:b/>
          <w:bCs/>
        </w:rPr>
      </w:pPr>
    </w:p>
    <w:p w:rsidR="00006D0C" w:rsidRDefault="00006D0C">
      <w:pPr>
        <w:pStyle w:val="BodyA"/>
        <w:jc w:val="center"/>
        <w:rPr>
          <w:b/>
          <w:bCs/>
        </w:rPr>
      </w:pPr>
    </w:p>
    <w:p w:rsidR="00006D0C" w:rsidRDefault="00006D0C">
      <w:pPr>
        <w:pStyle w:val="BodyA"/>
        <w:jc w:val="center"/>
        <w:rPr>
          <w:b/>
          <w:bCs/>
        </w:rPr>
      </w:pPr>
    </w:p>
    <w:p w:rsidR="00006D0C" w:rsidRDefault="009220EE">
      <w:pPr>
        <w:pStyle w:val="BodyA"/>
        <w:rPr>
          <w:rStyle w:val="NoneA"/>
        </w:rPr>
      </w:pPr>
      <w:r>
        <w:rPr>
          <w:rStyle w:val="NoneA"/>
        </w:rPr>
        <w:t>Although Stantec provided an Environmental Effects Evaluation (EEE) on March 13, 2015 it a</w:t>
      </w:r>
      <w:r>
        <w:rPr>
          <w:rStyle w:val="NoneA"/>
        </w:rPr>
        <w:t>p</w:t>
      </w:r>
      <w:r>
        <w:rPr>
          <w:rStyle w:val="NoneA"/>
        </w:rPr>
        <w:t xml:space="preserve">pears to have omitted several crucial factors when considering the impact of the Combined Sewage Storage Tunnel (CSST) project in New Edinburgh. </w:t>
      </w:r>
    </w:p>
    <w:p w:rsidR="00006D0C" w:rsidRDefault="00006D0C">
      <w:pPr>
        <w:pStyle w:val="BodyA"/>
        <w:rPr>
          <w:rStyle w:val="NoneA"/>
        </w:rPr>
      </w:pPr>
    </w:p>
    <w:p w:rsidR="00006D0C" w:rsidRDefault="009220EE">
      <w:pPr>
        <w:pStyle w:val="BodyA"/>
        <w:rPr>
          <w:rStyle w:val="NoneA"/>
        </w:rPr>
      </w:pPr>
      <w:r>
        <w:rPr>
          <w:rStyle w:val="NoneA"/>
        </w:rPr>
        <w:t>Based on the Canad</w:t>
      </w:r>
      <w:r>
        <w:rPr>
          <w:rStyle w:val="NoneA"/>
        </w:rPr>
        <w:t>ian Environmental Assessment Act (CEAA) 2012, we would expect a more complete analysis of the environmental effects, including, for example, impacts on health, socio-economic conditions, cultural heritage, and other aspects of the affected community.  Thes</w:t>
      </w:r>
      <w:r>
        <w:rPr>
          <w:rStyle w:val="NoneA"/>
        </w:rPr>
        <w:t>e have not been evaluated properly, and/or they are underestimated.  Completely missing is a Human Health Impact Assessment, including social impacts that should be part of any sustai</w:t>
      </w:r>
      <w:r>
        <w:rPr>
          <w:rStyle w:val="NoneA"/>
        </w:rPr>
        <w:t>n</w:t>
      </w:r>
      <w:r>
        <w:rPr>
          <w:rStyle w:val="NoneA"/>
        </w:rPr>
        <w:t xml:space="preserve">able development (Brundtland Commission). </w:t>
      </w:r>
    </w:p>
    <w:p w:rsidR="00006D0C" w:rsidRDefault="00006D0C">
      <w:pPr>
        <w:pStyle w:val="BodyA"/>
        <w:rPr>
          <w:rStyle w:val="NoneA"/>
        </w:rPr>
      </w:pPr>
    </w:p>
    <w:p w:rsidR="00006D0C" w:rsidRDefault="009220EE">
      <w:pPr>
        <w:pStyle w:val="BodyA"/>
        <w:rPr>
          <w:rStyle w:val="NoneA"/>
        </w:rPr>
      </w:pPr>
      <w:r>
        <w:rPr>
          <w:rStyle w:val="NoneA"/>
        </w:rPr>
        <w:t>This major project has the p</w:t>
      </w:r>
      <w:r>
        <w:rPr>
          <w:rStyle w:val="NoneA"/>
        </w:rPr>
        <w:t xml:space="preserve">otential to influence every aspect of residents’ lives.  We anticipate there will be significant and prolonged health, environmental and safety impacts. The project needs to be evaluated for such impacts on human welfare and how it will change the quality </w:t>
      </w:r>
      <w:r>
        <w:rPr>
          <w:rStyle w:val="NoneA"/>
        </w:rPr>
        <w:t>of the social and cultural environment.  It should identify groups of people most likely exposed and at risk of any adverse health effects.</w:t>
      </w:r>
    </w:p>
    <w:p w:rsidR="00006D0C" w:rsidRDefault="00006D0C">
      <w:pPr>
        <w:pStyle w:val="BodyA"/>
        <w:rPr>
          <w:rStyle w:val="NoneA"/>
          <w:rFonts w:ascii="Arial" w:eastAsia="Arial" w:hAnsi="Arial" w:cs="Arial"/>
          <w:sz w:val="20"/>
          <w:szCs w:val="20"/>
        </w:rPr>
      </w:pPr>
    </w:p>
    <w:p w:rsidR="00006D0C" w:rsidRDefault="009220EE">
      <w:pPr>
        <w:pStyle w:val="BodyA"/>
        <w:rPr>
          <w:rStyle w:val="NoneA"/>
          <w:u w:val="single"/>
        </w:rPr>
      </w:pPr>
      <w:r>
        <w:rPr>
          <w:rStyle w:val="NoneA"/>
          <w:u w:val="single"/>
        </w:rPr>
        <w:t>Stanley Park</w:t>
      </w:r>
    </w:p>
    <w:p w:rsidR="00006D0C" w:rsidRDefault="009220EE">
      <w:pPr>
        <w:pStyle w:val="BodyA"/>
        <w:numPr>
          <w:ilvl w:val="0"/>
          <w:numId w:val="2"/>
        </w:numPr>
      </w:pPr>
      <w:proofErr w:type="gramStart"/>
      <w:r>
        <w:t>have</w:t>
      </w:r>
      <w:proofErr w:type="gramEnd"/>
      <w:r>
        <w:t xml:space="preserve"> to dig through and remove toxic soil</w:t>
      </w:r>
    </w:p>
    <w:p w:rsidR="00006D0C" w:rsidRDefault="009220EE">
      <w:pPr>
        <w:pStyle w:val="BodyA"/>
        <w:numPr>
          <w:ilvl w:val="0"/>
          <w:numId w:val="2"/>
        </w:numPr>
      </w:pPr>
      <w:proofErr w:type="gramStart"/>
      <w:r>
        <w:t>coring</w:t>
      </w:r>
      <w:proofErr w:type="gramEnd"/>
      <w:r>
        <w:t xml:space="preserve"> operations will take place 24 hours a day, 7 days a w</w:t>
      </w:r>
      <w:r>
        <w:t>eek; trucking off site restricted to 7 am to 10 pm.</w:t>
      </w:r>
    </w:p>
    <w:p w:rsidR="00006D0C" w:rsidRDefault="009220EE">
      <w:pPr>
        <w:pStyle w:val="BodyA"/>
        <w:numPr>
          <w:ilvl w:val="0"/>
          <w:numId w:val="2"/>
        </w:numPr>
      </w:pPr>
      <w:proofErr w:type="gramStart"/>
      <w:r>
        <w:t>upwards</w:t>
      </w:r>
      <w:proofErr w:type="gramEnd"/>
      <w:r>
        <w:t xml:space="preserve"> of 2 1/2 years of heavy activity in revered, heritage park of immense value that will not recover for decades</w:t>
      </w:r>
    </w:p>
    <w:p w:rsidR="00006D0C" w:rsidRDefault="009220EE">
      <w:pPr>
        <w:pStyle w:val="BodyA"/>
        <w:numPr>
          <w:ilvl w:val="0"/>
          <w:numId w:val="2"/>
        </w:numPr>
      </w:pPr>
      <w:proofErr w:type="gramStart"/>
      <w:r>
        <w:t>park</w:t>
      </w:r>
      <w:proofErr w:type="gramEnd"/>
      <w:r>
        <w:t xml:space="preserve"> heavily used not only by residents of New Edinburgh but also across Ottawa</w:t>
      </w:r>
    </w:p>
    <w:p w:rsidR="00006D0C" w:rsidRDefault="009220EE">
      <w:pPr>
        <w:pStyle w:val="BodyA"/>
        <w:numPr>
          <w:ilvl w:val="0"/>
          <w:numId w:val="2"/>
        </w:numPr>
      </w:pPr>
      <w:proofErr w:type="gramStart"/>
      <w:r>
        <w:t>noise</w:t>
      </w:r>
      <w:proofErr w:type="gramEnd"/>
      <w:r>
        <w:t xml:space="preserve"> </w:t>
      </w:r>
      <w:r>
        <w:t>not only from boring but also trucks, loaders, generators</w:t>
      </w:r>
    </w:p>
    <w:p w:rsidR="00006D0C" w:rsidRDefault="009220EE">
      <w:pPr>
        <w:pStyle w:val="BodyA"/>
        <w:numPr>
          <w:ilvl w:val="0"/>
          <w:numId w:val="2"/>
        </w:numPr>
      </w:pPr>
      <w:proofErr w:type="gramStart"/>
      <w:r>
        <w:t>rock</w:t>
      </w:r>
      <w:proofErr w:type="gramEnd"/>
      <w:r>
        <w:t xml:space="preserve"> concerts in LeBreton Flats can be heard in New Edinburgh</w:t>
      </w:r>
    </w:p>
    <w:p w:rsidR="00006D0C" w:rsidRDefault="00006D0C">
      <w:pPr>
        <w:pStyle w:val="BodyA"/>
      </w:pPr>
    </w:p>
    <w:p w:rsidR="00006D0C" w:rsidRDefault="009220EE">
      <w:pPr>
        <w:pStyle w:val="BodyA"/>
        <w:rPr>
          <w:rStyle w:val="NoneA"/>
          <w:u w:val="single"/>
        </w:rPr>
      </w:pPr>
      <w:r>
        <w:rPr>
          <w:rStyle w:val="NoneA"/>
          <w:u w:val="single"/>
        </w:rPr>
        <w:t>Queen Victoria/River Lane</w:t>
      </w:r>
    </w:p>
    <w:p w:rsidR="00006D0C" w:rsidRDefault="009220EE">
      <w:pPr>
        <w:pStyle w:val="Default"/>
        <w:numPr>
          <w:ilvl w:val="0"/>
          <w:numId w:val="3"/>
        </w:numPr>
        <w:rPr>
          <w:rStyle w:val="NoneA"/>
          <w:sz w:val="24"/>
          <w:szCs w:val="24"/>
        </w:rPr>
      </w:pPr>
      <w:r>
        <w:rPr>
          <w:rStyle w:val="NoneA"/>
          <w:sz w:val="24"/>
          <w:szCs w:val="24"/>
        </w:rPr>
        <w:t xml:space="preserve">“Fortunately, our contract does have a maximum limit (130 dBA) during normal hours”. </w:t>
      </w:r>
      <w:proofErr w:type="gramStart"/>
      <w:r>
        <w:rPr>
          <w:rStyle w:val="NoneA"/>
          <w:sz w:val="24"/>
          <w:szCs w:val="24"/>
        </w:rPr>
        <w:t>.(</w:t>
      </w:r>
      <w:proofErr w:type="gramEnd"/>
      <w:r>
        <w:rPr>
          <w:rStyle w:val="NoneA"/>
          <w:sz w:val="24"/>
          <w:szCs w:val="24"/>
        </w:rPr>
        <w:t>Steve Courtland to Joa</w:t>
      </w:r>
      <w:r>
        <w:rPr>
          <w:rStyle w:val="NoneA"/>
          <w:sz w:val="24"/>
          <w:szCs w:val="24"/>
        </w:rPr>
        <w:t>n Mason, November 11, 2016) Equivalent to front row at a rock concert</w:t>
      </w:r>
    </w:p>
    <w:p w:rsidR="00006D0C" w:rsidRDefault="009220EE">
      <w:pPr>
        <w:pStyle w:val="Default"/>
        <w:numPr>
          <w:ilvl w:val="0"/>
          <w:numId w:val="3"/>
        </w:numPr>
        <w:rPr>
          <w:rStyle w:val="NoneA"/>
          <w:sz w:val="24"/>
          <w:szCs w:val="24"/>
        </w:rPr>
      </w:pPr>
      <w:proofErr w:type="gramStart"/>
      <w:r>
        <w:rPr>
          <w:rStyle w:val="NoneA"/>
          <w:sz w:val="24"/>
          <w:szCs w:val="24"/>
        </w:rPr>
        <w:t>above</w:t>
      </w:r>
      <w:proofErr w:type="gramEnd"/>
      <w:r>
        <w:rPr>
          <w:rStyle w:val="NoneA"/>
          <w:sz w:val="24"/>
          <w:szCs w:val="24"/>
        </w:rPr>
        <w:t xml:space="preserve"> 65dB hearing damage can occur</w:t>
      </w:r>
    </w:p>
    <w:p w:rsidR="00006D0C" w:rsidRDefault="009220EE">
      <w:pPr>
        <w:pStyle w:val="Default"/>
        <w:numPr>
          <w:ilvl w:val="0"/>
          <w:numId w:val="4"/>
        </w:numPr>
        <w:rPr>
          <w:rStyle w:val="NoneA"/>
          <w:rFonts w:ascii="Arial" w:eastAsia="Arial" w:hAnsi="Arial" w:cs="Arial"/>
          <w:sz w:val="24"/>
          <w:szCs w:val="24"/>
        </w:rPr>
      </w:pPr>
      <w:r>
        <w:rPr>
          <w:rStyle w:val="NoneA"/>
          <w:rFonts w:ascii="Arial" w:hAnsi="Arial"/>
          <w:sz w:val="24"/>
          <w:szCs w:val="24"/>
        </w:rPr>
        <w:t>“</w:t>
      </w:r>
      <w:r>
        <w:rPr>
          <w:rStyle w:val="NoneA"/>
          <w:rFonts w:ascii="Arial" w:hAnsi="Arial"/>
          <w:sz w:val="24"/>
          <w:szCs w:val="24"/>
        </w:rPr>
        <w:t>If a 130 dB sound continues for minutes or longer, hidden damage to ribbon syna</w:t>
      </w:r>
      <w:r>
        <w:rPr>
          <w:rStyle w:val="NoneA"/>
          <w:rFonts w:ascii="Arial" w:hAnsi="Arial"/>
          <w:sz w:val="24"/>
          <w:szCs w:val="24"/>
        </w:rPr>
        <w:t>p</w:t>
      </w:r>
      <w:r>
        <w:rPr>
          <w:rStyle w:val="NoneA"/>
          <w:rFonts w:ascii="Arial" w:hAnsi="Arial"/>
          <w:sz w:val="24"/>
          <w:szCs w:val="24"/>
        </w:rPr>
        <w:t xml:space="preserve">ses on auditory nerve fibers </w:t>
      </w:r>
      <w:r>
        <w:rPr>
          <w:rStyle w:val="NoneA"/>
          <w:rFonts w:ascii="Arial" w:hAnsi="Arial"/>
          <w:sz w:val="24"/>
          <w:szCs w:val="24"/>
        </w:rPr>
        <w:t xml:space="preserve">… </w:t>
      </w:r>
      <w:r>
        <w:rPr>
          <w:rStyle w:val="NoneA"/>
          <w:rFonts w:ascii="Arial" w:hAnsi="Arial"/>
          <w:sz w:val="24"/>
          <w:szCs w:val="24"/>
        </w:rPr>
        <w:t>is likely to occur.</w:t>
      </w:r>
      <w:r>
        <w:rPr>
          <w:rStyle w:val="NoneA"/>
          <w:rFonts w:ascii="Arial" w:hAnsi="Arial"/>
          <w:sz w:val="24"/>
          <w:szCs w:val="24"/>
        </w:rPr>
        <w:t xml:space="preserve">” </w:t>
      </w:r>
      <w:r>
        <w:rPr>
          <w:rStyle w:val="NoneA"/>
          <w:rFonts w:ascii="Arial" w:hAnsi="Arial"/>
          <w:sz w:val="24"/>
          <w:szCs w:val="24"/>
        </w:rPr>
        <w:t>(Dr. Larry Robert</w:t>
      </w:r>
      <w:r>
        <w:rPr>
          <w:rStyle w:val="NoneA"/>
          <w:rFonts w:ascii="Arial" w:hAnsi="Arial"/>
          <w:sz w:val="24"/>
          <w:szCs w:val="24"/>
        </w:rPr>
        <w:t xml:space="preserve">s, Department of Psychology Neuroscience and Behaviour, </w:t>
      </w:r>
      <w:r>
        <w:rPr>
          <w:rStyle w:val="NoneA"/>
          <w:rFonts w:ascii="Arial" w:hAnsi="Arial"/>
          <w:sz w:val="24"/>
          <w:szCs w:val="24"/>
          <w:lang w:val="de-DE"/>
        </w:rPr>
        <w:t>McMaster University</w:t>
      </w:r>
      <w:r>
        <w:rPr>
          <w:rStyle w:val="NoneA"/>
          <w:rFonts w:ascii="Arial" w:hAnsi="Arial"/>
          <w:sz w:val="24"/>
          <w:szCs w:val="24"/>
        </w:rPr>
        <w:t xml:space="preserve"> to Dick Palmer, 2 D</w:t>
      </w:r>
      <w:r>
        <w:rPr>
          <w:rStyle w:val="NoneA"/>
          <w:rFonts w:ascii="Arial" w:hAnsi="Arial"/>
          <w:sz w:val="24"/>
          <w:szCs w:val="24"/>
        </w:rPr>
        <w:t>e</w:t>
      </w:r>
      <w:r>
        <w:rPr>
          <w:rStyle w:val="NoneA"/>
          <w:rFonts w:ascii="Arial" w:hAnsi="Arial"/>
          <w:sz w:val="24"/>
          <w:szCs w:val="24"/>
        </w:rPr>
        <w:t xml:space="preserve">cember, 2016) </w:t>
      </w:r>
      <w:r>
        <w:rPr>
          <w:rStyle w:val="NoneA"/>
          <w:rFonts w:ascii="Arial" w:hAnsi="Arial"/>
          <w:sz w:val="24"/>
          <w:szCs w:val="24"/>
        </w:rPr>
        <w:t>“</w:t>
      </w:r>
      <w:r>
        <w:rPr>
          <w:rStyle w:val="NoneA"/>
          <w:rFonts w:ascii="Arial" w:hAnsi="Arial"/>
          <w:sz w:val="24"/>
          <w:szCs w:val="24"/>
        </w:rPr>
        <w:t xml:space="preserve">At 112 decibels, damage can occur with only </w:t>
      </w:r>
      <w:r>
        <w:rPr>
          <w:rStyle w:val="NoneA"/>
          <w:rFonts w:ascii="Arial" w:hAnsi="Arial"/>
          <w:i/>
          <w:iCs/>
          <w:sz w:val="24"/>
          <w:szCs w:val="24"/>
          <w:lang w:val="it-IT"/>
        </w:rPr>
        <w:t>one minute</w:t>
      </w:r>
      <w:r>
        <w:rPr>
          <w:rStyle w:val="NoneA"/>
          <w:rFonts w:ascii="Arial" w:hAnsi="Arial"/>
          <w:sz w:val="24"/>
          <w:szCs w:val="24"/>
        </w:rPr>
        <w:t xml:space="preserve"> of exp</w:t>
      </w:r>
      <w:r>
        <w:rPr>
          <w:rStyle w:val="NoneA"/>
          <w:rFonts w:ascii="Arial" w:hAnsi="Arial"/>
          <w:sz w:val="24"/>
          <w:szCs w:val="24"/>
        </w:rPr>
        <w:t>o</w:t>
      </w:r>
      <w:r>
        <w:rPr>
          <w:rStyle w:val="NoneA"/>
          <w:rFonts w:ascii="Arial" w:hAnsi="Arial"/>
          <w:sz w:val="24"/>
          <w:szCs w:val="24"/>
        </w:rPr>
        <w:t>sure.</w:t>
      </w:r>
      <w:r>
        <w:rPr>
          <w:rStyle w:val="NoneA"/>
          <w:rFonts w:ascii="Arial" w:hAnsi="Arial"/>
          <w:sz w:val="24"/>
          <w:szCs w:val="24"/>
        </w:rPr>
        <w:t xml:space="preserve">” </w:t>
      </w:r>
      <w:r>
        <w:rPr>
          <w:rStyle w:val="NoneA"/>
          <w:rFonts w:ascii="Arial" w:hAnsi="Arial"/>
          <w:sz w:val="24"/>
          <w:szCs w:val="24"/>
        </w:rPr>
        <w:t>(</w:t>
      </w:r>
      <w:hyperlink r:id="rId8" w:history="1">
        <w:proofErr w:type="gramStart"/>
        <w:r>
          <w:rPr>
            <w:rStyle w:val="Hyperlink0"/>
            <w:rFonts w:ascii="Arial" w:hAnsi="Arial"/>
            <w:sz w:val="24"/>
            <w:szCs w:val="24"/>
          </w:rPr>
          <w:t>noisehelp.com</w:t>
        </w:r>
        <w:proofErr w:type="gramEnd"/>
      </w:hyperlink>
      <w:r>
        <w:rPr>
          <w:rStyle w:val="NoneA"/>
          <w:rFonts w:ascii="Arial" w:hAnsi="Arial"/>
          <w:sz w:val="24"/>
          <w:szCs w:val="24"/>
        </w:rPr>
        <w:t>)</w:t>
      </w:r>
    </w:p>
    <w:p w:rsidR="00006D0C" w:rsidRDefault="009220EE">
      <w:pPr>
        <w:pStyle w:val="Default"/>
        <w:numPr>
          <w:ilvl w:val="0"/>
          <w:numId w:val="3"/>
        </w:numPr>
        <w:rPr>
          <w:rStyle w:val="NoneA"/>
          <w:sz w:val="24"/>
          <w:szCs w:val="24"/>
        </w:rPr>
      </w:pPr>
      <w:proofErr w:type="gramStart"/>
      <w:r>
        <w:rPr>
          <w:rStyle w:val="NoneA"/>
          <w:sz w:val="24"/>
          <w:szCs w:val="24"/>
        </w:rPr>
        <w:t>construction</w:t>
      </w:r>
      <w:proofErr w:type="gramEnd"/>
      <w:r>
        <w:rPr>
          <w:rStyle w:val="NoneA"/>
          <w:sz w:val="24"/>
          <w:szCs w:val="24"/>
        </w:rPr>
        <w:t xml:space="preserve"> will last </w:t>
      </w:r>
      <w:r>
        <w:rPr>
          <w:rStyle w:val="NoneA"/>
          <w:sz w:val="24"/>
          <w:szCs w:val="24"/>
        </w:rPr>
        <w:t>12 months; hours 7 am to 10 pm 7 days a week.</w:t>
      </w:r>
    </w:p>
    <w:p w:rsidR="00006D0C" w:rsidRDefault="009220EE">
      <w:pPr>
        <w:pStyle w:val="Default"/>
        <w:numPr>
          <w:ilvl w:val="0"/>
          <w:numId w:val="3"/>
        </w:numPr>
        <w:rPr>
          <w:rStyle w:val="NoneA"/>
          <w:sz w:val="24"/>
          <w:szCs w:val="24"/>
        </w:rPr>
      </w:pPr>
      <w:r>
        <w:rPr>
          <w:rStyle w:val="NoneA"/>
          <w:sz w:val="24"/>
          <w:szCs w:val="24"/>
        </w:rPr>
        <w:t>Sound Management Report required but not yet produced</w:t>
      </w:r>
    </w:p>
    <w:p w:rsidR="00006D0C" w:rsidRDefault="00006D0C">
      <w:pPr>
        <w:pStyle w:val="Default"/>
        <w:rPr>
          <w:sz w:val="24"/>
          <w:szCs w:val="24"/>
        </w:rPr>
      </w:pPr>
    </w:p>
    <w:p w:rsidR="00006D0C" w:rsidRDefault="009220EE">
      <w:pPr>
        <w:pStyle w:val="Default"/>
        <w:rPr>
          <w:rStyle w:val="NoneA"/>
          <w:sz w:val="24"/>
          <w:szCs w:val="24"/>
          <w:u w:val="single"/>
        </w:rPr>
      </w:pPr>
      <w:r>
        <w:rPr>
          <w:rStyle w:val="NoneA"/>
          <w:sz w:val="24"/>
          <w:szCs w:val="24"/>
          <w:u w:val="single"/>
        </w:rPr>
        <w:t>Trucking</w:t>
      </w:r>
    </w:p>
    <w:p w:rsidR="00006D0C" w:rsidRDefault="009220EE">
      <w:pPr>
        <w:pStyle w:val="Default"/>
        <w:numPr>
          <w:ilvl w:val="0"/>
          <w:numId w:val="3"/>
        </w:numPr>
        <w:rPr>
          <w:rStyle w:val="NoneA"/>
          <w:sz w:val="24"/>
          <w:szCs w:val="24"/>
        </w:rPr>
      </w:pPr>
      <w:proofErr w:type="gramStart"/>
      <w:r>
        <w:rPr>
          <w:rStyle w:val="NoneA"/>
          <w:sz w:val="24"/>
          <w:szCs w:val="24"/>
        </w:rPr>
        <w:t>approximately</w:t>
      </w:r>
      <w:proofErr w:type="gramEnd"/>
      <w:r>
        <w:rPr>
          <w:rStyle w:val="NoneA"/>
          <w:sz w:val="24"/>
          <w:szCs w:val="24"/>
        </w:rPr>
        <w:t xml:space="preserve"> 8 diesel trucks an hour for 10 month period</w:t>
      </w:r>
    </w:p>
    <w:p w:rsidR="00006D0C" w:rsidRDefault="009220EE">
      <w:pPr>
        <w:pStyle w:val="Default"/>
        <w:numPr>
          <w:ilvl w:val="0"/>
          <w:numId w:val="3"/>
        </w:numPr>
        <w:rPr>
          <w:rStyle w:val="NoneA"/>
          <w:sz w:val="24"/>
          <w:szCs w:val="24"/>
        </w:rPr>
      </w:pPr>
      <w:proofErr w:type="gramStart"/>
      <w:r>
        <w:rPr>
          <w:rStyle w:val="NoneA"/>
          <w:sz w:val="24"/>
          <w:szCs w:val="24"/>
        </w:rPr>
        <w:lastRenderedPageBreak/>
        <w:t>concerns</w:t>
      </w:r>
      <w:proofErr w:type="gramEnd"/>
      <w:r>
        <w:rPr>
          <w:rStyle w:val="NoneA"/>
          <w:sz w:val="24"/>
          <w:szCs w:val="24"/>
        </w:rPr>
        <w:t xml:space="preserve"> about toxic diesel fumes, toxic soil being transported, safety (there were </w:t>
      </w:r>
      <w:r>
        <w:rPr>
          <w:rStyle w:val="NoneA"/>
          <w:sz w:val="24"/>
          <w:szCs w:val="24"/>
        </w:rPr>
        <w:t>a</w:t>
      </w:r>
      <w:r>
        <w:rPr>
          <w:rStyle w:val="NoneA"/>
          <w:sz w:val="24"/>
          <w:szCs w:val="24"/>
        </w:rPr>
        <w:t>c</w:t>
      </w:r>
      <w:r>
        <w:rPr>
          <w:rStyle w:val="NoneA"/>
          <w:sz w:val="24"/>
          <w:szCs w:val="24"/>
        </w:rPr>
        <w:t>cidents during the Crichton St/Stanley Ave 2016 work), vibration</w:t>
      </w:r>
    </w:p>
    <w:p w:rsidR="00006D0C" w:rsidRDefault="009220EE">
      <w:pPr>
        <w:pStyle w:val="Default"/>
        <w:numPr>
          <w:ilvl w:val="0"/>
          <w:numId w:val="3"/>
        </w:numPr>
        <w:rPr>
          <w:rStyle w:val="NoneA"/>
          <w:sz w:val="24"/>
          <w:szCs w:val="24"/>
        </w:rPr>
      </w:pPr>
      <w:proofErr w:type="gramStart"/>
      <w:r>
        <w:rPr>
          <w:rStyle w:val="NoneA"/>
          <w:sz w:val="24"/>
          <w:szCs w:val="24"/>
        </w:rPr>
        <w:t>trucking</w:t>
      </w:r>
      <w:proofErr w:type="gramEnd"/>
      <w:r>
        <w:rPr>
          <w:rStyle w:val="NoneA"/>
          <w:sz w:val="24"/>
          <w:szCs w:val="24"/>
        </w:rPr>
        <w:t xml:space="preserve"> through Heritage Conservation District</w:t>
      </w:r>
    </w:p>
    <w:p w:rsidR="00006D0C" w:rsidRDefault="009220EE">
      <w:pPr>
        <w:pStyle w:val="Default"/>
        <w:numPr>
          <w:ilvl w:val="0"/>
          <w:numId w:val="3"/>
        </w:numPr>
        <w:rPr>
          <w:rStyle w:val="NoneA"/>
          <w:sz w:val="24"/>
          <w:szCs w:val="24"/>
        </w:rPr>
      </w:pPr>
      <w:proofErr w:type="gramStart"/>
      <w:r>
        <w:rPr>
          <w:rStyle w:val="NoneA"/>
          <w:sz w:val="24"/>
          <w:szCs w:val="24"/>
        </w:rPr>
        <w:t>adjacent</w:t>
      </w:r>
      <w:proofErr w:type="gramEnd"/>
      <w:r>
        <w:rPr>
          <w:rStyle w:val="NoneA"/>
          <w:sz w:val="24"/>
          <w:szCs w:val="24"/>
        </w:rPr>
        <w:t xml:space="preserve"> to children’s playground, skating rinks, 3 schools</w:t>
      </w:r>
    </w:p>
    <w:p w:rsidR="00006D0C" w:rsidRDefault="009220EE">
      <w:pPr>
        <w:pStyle w:val="Default"/>
        <w:numPr>
          <w:ilvl w:val="0"/>
          <w:numId w:val="3"/>
        </w:numPr>
        <w:rPr>
          <w:rStyle w:val="NoneA"/>
          <w:sz w:val="24"/>
          <w:szCs w:val="24"/>
        </w:rPr>
      </w:pPr>
      <w:proofErr w:type="gramStart"/>
      <w:r>
        <w:rPr>
          <w:rStyle w:val="NoneA"/>
          <w:sz w:val="24"/>
          <w:szCs w:val="24"/>
        </w:rPr>
        <w:t>adjacent</w:t>
      </w:r>
      <w:proofErr w:type="gramEnd"/>
      <w:r>
        <w:rPr>
          <w:rStyle w:val="NoneA"/>
          <w:sz w:val="24"/>
          <w:szCs w:val="24"/>
        </w:rPr>
        <w:t xml:space="preserve"> to 3 old age residences where many have mobility issues and some have de</w:t>
      </w:r>
      <w:r>
        <w:rPr>
          <w:rStyle w:val="NoneA"/>
          <w:sz w:val="24"/>
          <w:szCs w:val="24"/>
        </w:rPr>
        <w:t>mentia</w:t>
      </w:r>
    </w:p>
    <w:p w:rsidR="00006D0C" w:rsidRDefault="009220EE">
      <w:pPr>
        <w:pStyle w:val="Default"/>
        <w:numPr>
          <w:ilvl w:val="0"/>
          <w:numId w:val="3"/>
        </w:numPr>
        <w:rPr>
          <w:rStyle w:val="NoneA"/>
          <w:sz w:val="24"/>
          <w:szCs w:val="24"/>
        </w:rPr>
      </w:pPr>
      <w:proofErr w:type="gramStart"/>
      <w:r>
        <w:rPr>
          <w:rStyle w:val="NoneA"/>
          <w:sz w:val="24"/>
          <w:szCs w:val="24"/>
        </w:rPr>
        <w:t>uncertain</w:t>
      </w:r>
      <w:proofErr w:type="gramEnd"/>
      <w:r>
        <w:rPr>
          <w:rStyle w:val="NoneA"/>
          <w:sz w:val="24"/>
          <w:szCs w:val="24"/>
        </w:rPr>
        <w:t xml:space="preserve"> whether roads can physically support trucks</w:t>
      </w:r>
    </w:p>
    <w:p w:rsidR="00006D0C" w:rsidRDefault="00006D0C">
      <w:pPr>
        <w:pStyle w:val="Default"/>
        <w:rPr>
          <w:sz w:val="24"/>
          <w:szCs w:val="24"/>
        </w:rPr>
      </w:pPr>
    </w:p>
    <w:p w:rsidR="00006D0C" w:rsidRDefault="009220EE">
      <w:pPr>
        <w:pStyle w:val="Default"/>
        <w:rPr>
          <w:rStyle w:val="NoneA"/>
          <w:sz w:val="24"/>
          <w:szCs w:val="24"/>
          <w:u w:val="single"/>
        </w:rPr>
      </w:pPr>
      <w:r>
        <w:rPr>
          <w:rStyle w:val="NoneA"/>
          <w:sz w:val="24"/>
          <w:szCs w:val="24"/>
          <w:u w:val="single"/>
        </w:rPr>
        <w:t>Heritage</w:t>
      </w:r>
    </w:p>
    <w:p w:rsidR="00006D0C" w:rsidRDefault="009220EE">
      <w:pPr>
        <w:pStyle w:val="Default"/>
        <w:numPr>
          <w:ilvl w:val="0"/>
          <w:numId w:val="3"/>
        </w:numPr>
        <w:rPr>
          <w:rStyle w:val="NoneA"/>
          <w:sz w:val="24"/>
          <w:szCs w:val="24"/>
        </w:rPr>
      </w:pPr>
      <w:r>
        <w:rPr>
          <w:rStyle w:val="NoneA"/>
          <w:sz w:val="24"/>
          <w:szCs w:val="24"/>
        </w:rPr>
        <w:t>The City’s evaluation of environmental effects of the CSST in New Edinburgh did not include any assessment of impacts on built heritage, nor did it acknowledge the exis</w:t>
      </w:r>
      <w:r>
        <w:rPr>
          <w:rStyle w:val="NoneA"/>
          <w:sz w:val="24"/>
          <w:szCs w:val="24"/>
        </w:rPr>
        <w:t>t</w:t>
      </w:r>
      <w:r>
        <w:rPr>
          <w:rStyle w:val="NoneA"/>
          <w:sz w:val="24"/>
          <w:szCs w:val="24"/>
        </w:rPr>
        <w:t>ence of the NE H</w:t>
      </w:r>
      <w:r>
        <w:rPr>
          <w:rStyle w:val="NoneA"/>
          <w:sz w:val="24"/>
          <w:szCs w:val="24"/>
        </w:rPr>
        <w:t>CD. This is despite stating in the CSST Environmental Study that heritage is a "Valued Environmental Component" to be included in project asses</w:t>
      </w:r>
      <w:r>
        <w:rPr>
          <w:rStyle w:val="NoneA"/>
          <w:sz w:val="24"/>
          <w:szCs w:val="24"/>
        </w:rPr>
        <w:t>s</w:t>
      </w:r>
      <w:r>
        <w:rPr>
          <w:rStyle w:val="NoneA"/>
          <w:sz w:val="24"/>
          <w:szCs w:val="24"/>
        </w:rPr>
        <w:t>ment.</w:t>
      </w:r>
    </w:p>
    <w:p w:rsidR="00006D0C" w:rsidRDefault="009220EE">
      <w:pPr>
        <w:pStyle w:val="Default"/>
        <w:numPr>
          <w:ilvl w:val="0"/>
          <w:numId w:val="3"/>
        </w:numPr>
        <w:rPr>
          <w:rStyle w:val="NoneA"/>
          <w:sz w:val="24"/>
          <w:szCs w:val="24"/>
        </w:rPr>
      </w:pPr>
      <w:r>
        <w:rPr>
          <w:rStyle w:val="NoneA"/>
          <w:sz w:val="24"/>
          <w:szCs w:val="24"/>
        </w:rPr>
        <w:t>Potential heritage impacts include structural damage to historic properties near the excavation sites and along the trucking routes, disruption of the streetscapes, and pr</w:t>
      </w:r>
      <w:r>
        <w:rPr>
          <w:rStyle w:val="NoneA"/>
          <w:sz w:val="24"/>
          <w:szCs w:val="24"/>
        </w:rPr>
        <w:t>o</w:t>
      </w:r>
      <w:r>
        <w:rPr>
          <w:rStyle w:val="NoneA"/>
          <w:sz w:val="24"/>
          <w:szCs w:val="24"/>
        </w:rPr>
        <w:t xml:space="preserve">longed disturbance of the quiet ambiance of this historic residential neighbourhood </w:t>
      </w:r>
    </w:p>
    <w:p w:rsidR="00006D0C" w:rsidRDefault="009220EE">
      <w:pPr>
        <w:pStyle w:val="Default"/>
        <w:rPr>
          <w:rStyle w:val="NoneA"/>
          <w:sz w:val="24"/>
          <w:szCs w:val="24"/>
        </w:rPr>
      </w:pPr>
      <w:r>
        <w:rPr>
          <w:rStyle w:val="NoneA"/>
          <w:sz w:val="24"/>
          <w:szCs w:val="24"/>
        </w:rPr>
        <w:t xml:space="preserve">   </w:t>
      </w:r>
      <w:proofErr w:type="gramStart"/>
      <w:r>
        <w:rPr>
          <w:rStyle w:val="NoneA"/>
          <w:sz w:val="24"/>
          <w:szCs w:val="24"/>
        </w:rPr>
        <w:t>close</w:t>
      </w:r>
      <w:proofErr w:type="gramEnd"/>
      <w:r>
        <w:rPr>
          <w:rStyle w:val="NoneA"/>
          <w:sz w:val="24"/>
          <w:szCs w:val="24"/>
        </w:rPr>
        <w:t xml:space="preserve"> to Rideau Hall and the ceremonial Sussex Drive.</w:t>
      </w:r>
    </w:p>
    <w:p w:rsidR="00006D0C" w:rsidRDefault="00006D0C">
      <w:pPr>
        <w:pStyle w:val="Default"/>
        <w:rPr>
          <w:sz w:val="24"/>
          <w:szCs w:val="24"/>
        </w:rPr>
      </w:pPr>
    </w:p>
    <w:p w:rsidR="00006D0C" w:rsidRDefault="00006D0C">
      <w:pPr>
        <w:pStyle w:val="Default"/>
        <w:rPr>
          <w:sz w:val="24"/>
          <w:szCs w:val="24"/>
        </w:rPr>
      </w:pPr>
    </w:p>
    <w:p w:rsidR="00006D0C" w:rsidRDefault="00006D0C">
      <w:pPr>
        <w:pStyle w:val="Default"/>
        <w:rPr>
          <w:sz w:val="24"/>
          <w:szCs w:val="24"/>
        </w:rPr>
      </w:pPr>
    </w:p>
    <w:p w:rsidR="00006D0C" w:rsidRDefault="009220EE">
      <w:pPr>
        <w:pStyle w:val="Default"/>
      </w:pPr>
      <w:r>
        <w:rPr>
          <w:rStyle w:val="NoneA"/>
          <w:sz w:val="24"/>
          <w:szCs w:val="24"/>
        </w:rPr>
        <w:t>January 3, 2017</w:t>
      </w:r>
    </w:p>
    <w:sectPr w:rsidR="00006D0C">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220EE">
      <w:r>
        <w:separator/>
      </w:r>
    </w:p>
  </w:endnote>
  <w:endnote w:type="continuationSeparator" w:id="0">
    <w:p w:rsidR="00000000" w:rsidRDefault="00922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D0C" w:rsidRDefault="00006D0C">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220EE">
      <w:r>
        <w:separator/>
      </w:r>
    </w:p>
  </w:footnote>
  <w:footnote w:type="continuationSeparator" w:id="0">
    <w:p w:rsidR="00000000" w:rsidRDefault="009220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D0C" w:rsidRDefault="00006D0C">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6F03"/>
    <w:multiLevelType w:val="hybridMultilevel"/>
    <w:tmpl w:val="E586F1CA"/>
    <w:numStyleLink w:val="Bullet"/>
  </w:abstractNum>
  <w:abstractNum w:abstractNumId="1">
    <w:nsid w:val="18BE772E"/>
    <w:multiLevelType w:val="hybridMultilevel"/>
    <w:tmpl w:val="E586F1CA"/>
    <w:styleLink w:val="Bullet"/>
    <w:lvl w:ilvl="0" w:tplc="767014D2">
      <w:start w:val="1"/>
      <w:numFmt w:val="bullet"/>
      <w:lvlText w:val="•"/>
      <w:lvlJc w:val="left"/>
      <w:pPr>
        <w:ind w:left="18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3ADA37E8">
      <w:start w:val="1"/>
      <w:numFmt w:val="bullet"/>
      <w:lvlText w:val="•"/>
      <w:lvlJc w:val="left"/>
      <w:pPr>
        <w:ind w:left="36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5A8EF02">
      <w:start w:val="1"/>
      <w:numFmt w:val="bullet"/>
      <w:lvlText w:val="•"/>
      <w:lvlJc w:val="left"/>
      <w:pPr>
        <w:ind w:left="54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B8C888FE">
      <w:start w:val="1"/>
      <w:numFmt w:val="bullet"/>
      <w:lvlText w:val="•"/>
      <w:lvlJc w:val="left"/>
      <w:pPr>
        <w:ind w:left="72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02E09DDC">
      <w:start w:val="1"/>
      <w:numFmt w:val="bullet"/>
      <w:lvlText w:val="•"/>
      <w:lvlJc w:val="left"/>
      <w:pPr>
        <w:ind w:left="90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5B0EC26">
      <w:start w:val="1"/>
      <w:numFmt w:val="bullet"/>
      <w:lvlText w:val="•"/>
      <w:lvlJc w:val="left"/>
      <w:pPr>
        <w:ind w:left="108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ECFC047E">
      <w:start w:val="1"/>
      <w:numFmt w:val="bullet"/>
      <w:lvlText w:val="•"/>
      <w:lvlJc w:val="left"/>
      <w:pPr>
        <w:ind w:left="126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A8F8C550">
      <w:start w:val="1"/>
      <w:numFmt w:val="bullet"/>
      <w:lvlText w:val="•"/>
      <w:lvlJc w:val="left"/>
      <w:pPr>
        <w:ind w:left="144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30741BB0">
      <w:start w:val="1"/>
      <w:numFmt w:val="bullet"/>
      <w:lvlText w:val="•"/>
      <w:lvlJc w:val="left"/>
      <w:pPr>
        <w:ind w:left="162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tplc="E228AE5E">
        <w:start w:val="1"/>
        <w:numFmt w:val="bullet"/>
        <w:lvlText w:val="•"/>
        <w:lvlJc w:val="left"/>
        <w:pPr>
          <w:ind w:left="196" w:hanging="1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31EA5C6">
        <w:start w:val="1"/>
        <w:numFmt w:val="bullet"/>
        <w:lvlText w:val="•"/>
        <w:lvlJc w:val="left"/>
        <w:pPr>
          <w:ind w:left="376" w:hanging="1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38036BA">
        <w:start w:val="1"/>
        <w:numFmt w:val="bullet"/>
        <w:lvlText w:val="•"/>
        <w:lvlJc w:val="left"/>
        <w:pPr>
          <w:ind w:left="556" w:hanging="1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38CCEA4">
        <w:start w:val="1"/>
        <w:numFmt w:val="bullet"/>
        <w:lvlText w:val="•"/>
        <w:lvlJc w:val="left"/>
        <w:pPr>
          <w:ind w:left="736" w:hanging="1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9D4E664">
        <w:start w:val="1"/>
        <w:numFmt w:val="bullet"/>
        <w:lvlText w:val="•"/>
        <w:lvlJc w:val="left"/>
        <w:pPr>
          <w:ind w:left="916" w:hanging="1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240EBC8">
        <w:start w:val="1"/>
        <w:numFmt w:val="bullet"/>
        <w:lvlText w:val="•"/>
        <w:lvlJc w:val="left"/>
        <w:pPr>
          <w:ind w:left="1096" w:hanging="1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B688746">
        <w:start w:val="1"/>
        <w:numFmt w:val="bullet"/>
        <w:lvlText w:val="•"/>
        <w:lvlJc w:val="left"/>
        <w:pPr>
          <w:ind w:left="1276" w:hanging="1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6FCDA9E">
        <w:start w:val="1"/>
        <w:numFmt w:val="bullet"/>
        <w:lvlText w:val="•"/>
        <w:lvlJc w:val="left"/>
        <w:pPr>
          <w:ind w:left="1456" w:hanging="1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21E002E">
        <w:start w:val="1"/>
        <w:numFmt w:val="bullet"/>
        <w:lvlText w:val="•"/>
        <w:lvlJc w:val="left"/>
        <w:pPr>
          <w:ind w:left="1636" w:hanging="1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tplc="E228AE5E">
        <w:start w:val="1"/>
        <w:numFmt w:val="bullet"/>
        <w:lvlText w:val="•"/>
        <w:lvlJc w:val="left"/>
        <w:pPr>
          <w:ind w:left="19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31EA5C6">
        <w:start w:val="1"/>
        <w:numFmt w:val="bullet"/>
        <w:lvlText w:val="•"/>
        <w:lvlJc w:val="left"/>
        <w:pPr>
          <w:ind w:left="37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38036BA">
        <w:start w:val="1"/>
        <w:numFmt w:val="bullet"/>
        <w:lvlText w:val="•"/>
        <w:lvlJc w:val="left"/>
        <w:pPr>
          <w:ind w:left="55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38CCEA4">
        <w:start w:val="1"/>
        <w:numFmt w:val="bullet"/>
        <w:lvlText w:val="•"/>
        <w:lvlJc w:val="left"/>
        <w:pPr>
          <w:ind w:left="73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9D4E664">
        <w:start w:val="1"/>
        <w:numFmt w:val="bullet"/>
        <w:lvlText w:val="•"/>
        <w:lvlJc w:val="left"/>
        <w:pPr>
          <w:ind w:left="91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240EBC8">
        <w:start w:val="1"/>
        <w:numFmt w:val="bullet"/>
        <w:lvlText w:val="•"/>
        <w:lvlJc w:val="left"/>
        <w:pPr>
          <w:ind w:left="109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B688746">
        <w:start w:val="1"/>
        <w:numFmt w:val="bullet"/>
        <w:lvlText w:val="•"/>
        <w:lvlJc w:val="left"/>
        <w:pPr>
          <w:ind w:left="127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6FCDA9E">
        <w:start w:val="1"/>
        <w:numFmt w:val="bullet"/>
        <w:lvlText w:val="•"/>
        <w:lvlJc w:val="left"/>
        <w:pPr>
          <w:ind w:left="145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21E002E">
        <w:start w:val="1"/>
        <w:numFmt w:val="bullet"/>
        <w:lvlText w:val="•"/>
        <w:lvlJc w:val="left"/>
        <w:pPr>
          <w:ind w:left="163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006D0C"/>
    <w:rsid w:val="00006D0C"/>
    <w:rsid w:val="009220E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 w:type="character" w:customStyle="1" w:styleId="NoneA">
    <w:name w:val="None A"/>
    <w:rPr>
      <w:lang w:val="en-US"/>
    </w:rPr>
  </w:style>
  <w:style w:type="numbering" w:customStyle="1" w:styleId="Bullet">
    <w:name w:val="Bullet"/>
    <w:pPr>
      <w:numPr>
        <w:numId w:val="1"/>
      </w:numPr>
    </w:pPr>
  </w:style>
  <w:style w:type="paragraph" w:customStyle="1" w:styleId="Default">
    <w:name w:val="Default"/>
    <w:rPr>
      <w:rFonts w:ascii="Helvetica" w:hAnsi="Helvetica" w:cs="Arial Unicode MS"/>
      <w:color w:val="000000"/>
      <w:sz w:val="22"/>
      <w:szCs w:val="22"/>
      <w:u w:color="000000"/>
      <w:lang w:val="en-US"/>
    </w:rPr>
  </w:style>
  <w:style w:type="character" w:customStyle="1" w:styleId="Hyperlink0">
    <w:name w:val="Hyperlink.0"/>
    <w:basedOn w:val="NoneA"/>
    <w:rPr>
      <w:u w:val="single"/>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 w:type="character" w:customStyle="1" w:styleId="NoneA">
    <w:name w:val="None A"/>
    <w:rPr>
      <w:lang w:val="en-US"/>
    </w:rPr>
  </w:style>
  <w:style w:type="numbering" w:customStyle="1" w:styleId="Bullet">
    <w:name w:val="Bullet"/>
    <w:pPr>
      <w:numPr>
        <w:numId w:val="1"/>
      </w:numPr>
    </w:pPr>
  </w:style>
  <w:style w:type="paragraph" w:customStyle="1" w:styleId="Default">
    <w:name w:val="Default"/>
    <w:rPr>
      <w:rFonts w:ascii="Helvetica" w:hAnsi="Helvetica" w:cs="Arial Unicode MS"/>
      <w:color w:val="000000"/>
      <w:sz w:val="22"/>
      <w:szCs w:val="22"/>
      <w:u w:color="000000"/>
      <w:lang w:val="en-US"/>
    </w:rPr>
  </w:style>
  <w:style w:type="character" w:customStyle="1" w:styleId="Hyperlink0">
    <w:name w:val="Hyperlink.0"/>
    <w:basedOn w:val="NoneA"/>
    <w:rPr>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noisehelp.com"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3050</Characters>
  <Application>Microsoft Macintosh Word</Application>
  <DocSecurity>0</DocSecurity>
  <Lines>25</Lines>
  <Paragraphs>7</Paragraphs>
  <ScaleCrop>false</ScaleCrop>
  <Company>Latens</Company>
  <LinksUpToDate>false</LinksUpToDate>
  <CharactersWithSpaces>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Leadlay</cp:lastModifiedBy>
  <cp:revision>2</cp:revision>
  <dcterms:created xsi:type="dcterms:W3CDTF">2017-01-06T22:14:00Z</dcterms:created>
  <dcterms:modified xsi:type="dcterms:W3CDTF">2017-01-06T22:14:00Z</dcterms:modified>
</cp:coreProperties>
</file>